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39" w:rsidRDefault="004F0B19" w:rsidP="00D01A16">
      <w:pPr>
        <w:tabs>
          <w:tab w:val="center" w:pos="2805"/>
          <w:tab w:val="center" w:pos="6533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C96539" w:rsidRDefault="004F0B19" w:rsidP="004473E4">
      <w:pPr>
        <w:spacing w:after="404" w:line="250" w:lineRule="auto"/>
        <w:ind w:left="226" w:right="-15"/>
      </w:pPr>
      <w:r>
        <w:rPr>
          <w:b/>
        </w:rPr>
        <w:t>CONSULTA PÚBLICA PREVIA A LA ELABORACIÓN DEL ANTEPROYECTO DE LEY</w:t>
      </w:r>
      <w:r w:rsidR="00CA560D">
        <w:rPr>
          <w:b/>
        </w:rPr>
        <w:t xml:space="preserve"> DE PROTECCIÓN DE DATOS PERSONALES</w:t>
      </w:r>
      <w:r>
        <w:rPr>
          <w:b/>
        </w:rPr>
        <w:t>.</w:t>
      </w:r>
    </w:p>
    <w:p w:rsidR="00C96539" w:rsidRDefault="00D65FBA" w:rsidP="004473E4">
      <w:pPr>
        <w:ind w:left="226"/>
      </w:pPr>
      <w:r>
        <w:t xml:space="preserve">El Departamento de Seguridad </w:t>
      </w:r>
      <w:r w:rsidR="004F0B19">
        <w:t>del Gobierno Vasco tiene previsto iniciar la elaboración del procedimiento para la elaboración del Anteproyecto de Ley</w:t>
      </w:r>
      <w:r w:rsidR="00CA560D">
        <w:t xml:space="preserve"> </w:t>
      </w:r>
      <w:r w:rsidR="00CA560D" w:rsidRPr="00CA560D">
        <w:t>de protección de datos personales</w:t>
      </w:r>
      <w:r>
        <w:t>.</w:t>
      </w:r>
    </w:p>
    <w:p w:rsidR="00C96539" w:rsidRDefault="004F0B19" w:rsidP="004473E4">
      <w:pPr>
        <w:spacing w:after="11"/>
        <w:ind w:left="226"/>
      </w:pPr>
      <w:r>
        <w:t>De conformidad con lo establecido en el apartado 1 del ar</w:t>
      </w:r>
      <w:r w:rsidR="00CA560D">
        <w:t xml:space="preserve">tículo 133 de la Ley </w:t>
      </w:r>
    </w:p>
    <w:p w:rsidR="00C96539" w:rsidRDefault="004F0B19" w:rsidP="004473E4">
      <w:r>
        <w:t xml:space="preserve">39/2015, de 1 de octubre, del Procedimiento Administrativo Común de las Administraciones Públicas, con carácter previo a la elaboración del proyecto o anteproyecto de ley, se sustanciará una consulta pública, a través del portal web </w:t>
      </w:r>
      <w:r w:rsidR="00DA3864">
        <w:t xml:space="preserve">de la Administración competente, </w:t>
      </w:r>
      <w:r>
        <w:t>en la que se recabará la opinión de los sujetos y de las organizaciones más representativas potencialmente afectados por la futura norma</w:t>
      </w:r>
      <w:r w:rsidR="004473E4">
        <w:t>,</w:t>
      </w:r>
      <w:r>
        <w:t xml:space="preserve"> acerca de:</w:t>
      </w:r>
    </w:p>
    <w:p w:rsidR="00C96539" w:rsidRDefault="004F0B19" w:rsidP="004473E4">
      <w:pPr>
        <w:numPr>
          <w:ilvl w:val="0"/>
          <w:numId w:val="1"/>
        </w:numPr>
        <w:spacing w:after="11"/>
        <w:ind w:hanging="280"/>
      </w:pPr>
      <w:r>
        <w:t>Los problemas que se pretenden solucionar con la iniciativa.</w:t>
      </w:r>
    </w:p>
    <w:p w:rsidR="00C96539" w:rsidRDefault="004F0B19" w:rsidP="004473E4">
      <w:pPr>
        <w:numPr>
          <w:ilvl w:val="0"/>
          <w:numId w:val="1"/>
        </w:numPr>
        <w:spacing w:after="11"/>
        <w:ind w:hanging="280"/>
      </w:pPr>
      <w:r>
        <w:t>La necesidad y oportunidad de su aprobación.</w:t>
      </w:r>
    </w:p>
    <w:p w:rsidR="00C96539" w:rsidRDefault="004F0B19" w:rsidP="004473E4">
      <w:pPr>
        <w:numPr>
          <w:ilvl w:val="0"/>
          <w:numId w:val="1"/>
        </w:numPr>
        <w:spacing w:after="11"/>
        <w:ind w:hanging="280"/>
      </w:pPr>
      <w:r>
        <w:t>Los objetivos de la norma.</w:t>
      </w:r>
    </w:p>
    <w:p w:rsidR="00C96539" w:rsidRDefault="004F0B19" w:rsidP="004473E4">
      <w:pPr>
        <w:numPr>
          <w:ilvl w:val="0"/>
          <w:numId w:val="1"/>
        </w:numPr>
        <w:ind w:hanging="2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DC5066" wp14:editId="380543C1">
            <wp:simplePos x="0" y="0"/>
            <wp:positionH relativeFrom="page">
              <wp:posOffset>1934846</wp:posOffset>
            </wp:positionH>
            <wp:positionV relativeFrom="page">
              <wp:posOffset>457196</wp:posOffset>
            </wp:positionV>
            <wp:extent cx="3781440" cy="46672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p</w:t>
      </w:r>
      <w:r w:rsidR="00DA3864">
        <w:t xml:space="preserve">osibles soluciones alternativas, </w:t>
      </w:r>
      <w:r>
        <w:t>regulatorias y no regulatorias.</w:t>
      </w:r>
    </w:p>
    <w:p w:rsidR="00C96539" w:rsidRDefault="004F0B19" w:rsidP="004473E4">
      <w:pPr>
        <w:ind w:left="226"/>
      </w:pPr>
      <w:r>
        <w:t>Por Acuerdo del Consejo de Gobierno, de 12 de diciembre de 2017, se aprobaron Instrucciones sobre la aplicación del Procedimiento de Elabora</w:t>
      </w:r>
      <w:r w:rsidR="004473E4">
        <w:t xml:space="preserve">ción de las DNCG, en las cuales, </w:t>
      </w:r>
      <w:r>
        <w:t>se determinó que la cumplimentación del citado trámite de consulta previa podrá realizarla el órgano o centro directivo promotor de la tramitación de la Disposición de Carácter General</w:t>
      </w:r>
      <w:r w:rsidR="004473E4">
        <w:t>,</w:t>
      </w:r>
      <w:r>
        <w:t xml:space="preserve"> mediante anuncio en el Tablón de Anuncios de la Sede Electrónica de la Administración Pública de la Comunidad Autónoma de Euskadi. </w:t>
      </w:r>
    </w:p>
    <w:p w:rsidR="00C96539" w:rsidRDefault="004F0B19" w:rsidP="004473E4">
      <w:pPr>
        <w:ind w:left="226"/>
      </w:pPr>
      <w:r>
        <w:t>En cumplimiento de lo anterior, y con carácter previo a su elaboración, por medio de la presente</w:t>
      </w:r>
      <w:r w:rsidR="004473E4">
        <w:t>,</w:t>
      </w:r>
      <w:r>
        <w:t xml:space="preserve"> se invita a la ciudadanía a que se pronuncie acerca de la información contenida en el anexo que será publicado en el Tablón de Anuncios de la Sede Electrónica del Gobierno Vasco.</w:t>
      </w:r>
    </w:p>
    <w:p w:rsidR="00C96539" w:rsidRDefault="004F0B19" w:rsidP="004473E4">
      <w:pPr>
        <w:ind w:left="226"/>
      </w:pPr>
      <w:r>
        <w:t>En Vitoria-Gasteiz, a la fecha de la firma.</w:t>
      </w:r>
    </w:p>
    <w:p w:rsidR="00C96539" w:rsidRDefault="004F0B19">
      <w:pPr>
        <w:spacing w:after="480" w:line="265" w:lineRule="auto"/>
        <w:jc w:val="center"/>
        <w:rPr>
          <w:b/>
          <w:sz w:val="22"/>
        </w:rPr>
      </w:pPr>
      <w:r>
        <w:rPr>
          <w:b/>
          <w:sz w:val="22"/>
        </w:rPr>
        <w:t xml:space="preserve">El Director de </w:t>
      </w:r>
      <w:r w:rsidR="00CA560D">
        <w:rPr>
          <w:b/>
          <w:sz w:val="22"/>
        </w:rPr>
        <w:t>Régimen Jurídico, Servicios y Procesos Electorales</w:t>
      </w:r>
    </w:p>
    <w:p w:rsidR="00D65FBA" w:rsidRDefault="00D65FBA">
      <w:pPr>
        <w:spacing w:after="480" w:line="265" w:lineRule="auto"/>
        <w:jc w:val="center"/>
      </w:pPr>
    </w:p>
    <w:p w:rsidR="00C96539" w:rsidRDefault="004F0B19">
      <w:pPr>
        <w:spacing w:after="0" w:line="265" w:lineRule="auto"/>
        <w:jc w:val="center"/>
      </w:pPr>
      <w:r>
        <w:rPr>
          <w:b/>
          <w:sz w:val="22"/>
        </w:rPr>
        <w:t xml:space="preserve">Fdo. </w:t>
      </w:r>
      <w:r w:rsidR="009B50EC">
        <w:rPr>
          <w:b/>
          <w:sz w:val="22"/>
        </w:rPr>
        <w:t>Egoitz Laburu Rodríguez</w:t>
      </w:r>
    </w:p>
    <w:p w:rsidR="00C96539" w:rsidRDefault="004F0B19">
      <w:pPr>
        <w:spacing w:after="185" w:line="259" w:lineRule="auto"/>
        <w:ind w:left="231" w:firstLine="0"/>
        <w:jc w:val="center"/>
      </w:pPr>
      <w:r>
        <w:rPr>
          <w:sz w:val="22"/>
        </w:rPr>
        <w:t>(Firmado electrónicamente)</w:t>
      </w:r>
    </w:p>
    <w:p w:rsidR="00C96539" w:rsidRDefault="004F0B19">
      <w:pPr>
        <w:tabs>
          <w:tab w:val="center" w:pos="2319"/>
          <w:tab w:val="center" w:pos="6626"/>
        </w:tabs>
        <w:spacing w:after="74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1A00C3" w:rsidRDefault="001A00C3">
      <w:pPr>
        <w:spacing w:after="292" w:line="250" w:lineRule="auto"/>
        <w:ind w:left="226" w:right="-15"/>
        <w:rPr>
          <w:b/>
        </w:rPr>
      </w:pPr>
    </w:p>
    <w:p w:rsidR="00C96539" w:rsidRDefault="004F0B19">
      <w:pPr>
        <w:spacing w:after="292" w:line="250" w:lineRule="auto"/>
        <w:ind w:left="226" w:right="-1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D050FC4" wp14:editId="063AA514">
            <wp:simplePos x="0" y="0"/>
            <wp:positionH relativeFrom="page">
              <wp:posOffset>1934846</wp:posOffset>
            </wp:positionH>
            <wp:positionV relativeFrom="page">
              <wp:posOffset>457196</wp:posOffset>
            </wp:positionV>
            <wp:extent cx="3781440" cy="466725"/>
            <wp:effectExtent l="0" t="0" r="0" b="0"/>
            <wp:wrapTopAndBottom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CONSULTA PÚBLICA PREVIA A LA ELABORACIÓN DEL ANTEPROYECTO DE LEY </w:t>
      </w:r>
      <w:r w:rsidR="00BB442A">
        <w:rPr>
          <w:b/>
        </w:rPr>
        <w:t>DE PROTECCIÓN DE DATOS PERSONALES</w:t>
      </w:r>
      <w:r w:rsidR="00D01A16">
        <w:rPr>
          <w:b/>
        </w:rPr>
        <w:t>.</w:t>
      </w:r>
    </w:p>
    <w:tbl>
      <w:tblPr>
        <w:tblStyle w:val="TableGrid"/>
        <w:tblW w:w="8645" w:type="dxa"/>
        <w:tblInd w:w="123" w:type="dxa"/>
        <w:tblCellMar>
          <w:top w:w="86" w:type="dxa"/>
          <w:left w:w="108" w:type="dxa"/>
          <w:bottom w:w="26" w:type="dxa"/>
          <w:right w:w="47" w:type="dxa"/>
        </w:tblCellMar>
        <w:tblLook w:val="04A0" w:firstRow="1" w:lastRow="0" w:firstColumn="1" w:lastColumn="0" w:noHBand="0" w:noVBand="1"/>
      </w:tblPr>
      <w:tblGrid>
        <w:gridCol w:w="2660"/>
        <w:gridCol w:w="5985"/>
      </w:tblGrid>
      <w:tr w:rsidR="00C96539" w:rsidTr="00287120">
        <w:trPr>
          <w:trHeight w:val="2823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277" w:rsidRDefault="003C3277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3C3277" w:rsidRDefault="003C3277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4473E4" w:rsidRDefault="004473E4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4473E4" w:rsidRDefault="004473E4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4473E4" w:rsidRDefault="004473E4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4473E4" w:rsidRDefault="004473E4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</w:p>
          <w:p w:rsidR="00C96539" w:rsidRDefault="004F0B19" w:rsidP="0086443F">
            <w:pPr>
              <w:spacing w:after="0" w:line="259" w:lineRule="auto"/>
              <w:ind w:left="0" w:firstLine="0"/>
            </w:pPr>
            <w:r>
              <w:rPr>
                <w:b/>
                <w:color w:val="00003A"/>
              </w:rPr>
              <w:t>PROBLEMAS QUE SE</w:t>
            </w:r>
          </w:p>
          <w:p w:rsidR="00C96539" w:rsidRDefault="004F0B19" w:rsidP="0086443F">
            <w:pPr>
              <w:spacing w:after="0" w:line="259" w:lineRule="auto"/>
              <w:ind w:left="0" w:firstLine="0"/>
            </w:pPr>
            <w:r>
              <w:rPr>
                <w:b/>
                <w:color w:val="00003A"/>
              </w:rPr>
              <w:t>PRETENDEN</w:t>
            </w:r>
          </w:p>
          <w:p w:rsidR="000A6F7C" w:rsidRPr="000A6F7C" w:rsidRDefault="004F0B19" w:rsidP="0086443F">
            <w:pPr>
              <w:spacing w:after="0" w:line="259" w:lineRule="auto"/>
              <w:ind w:left="0" w:firstLine="0"/>
              <w:rPr>
                <w:b/>
                <w:color w:val="00003A"/>
              </w:rPr>
            </w:pPr>
            <w:r>
              <w:rPr>
                <w:b/>
                <w:color w:val="00003A"/>
              </w:rPr>
              <w:t>SOLUCIONAR CON LA</w:t>
            </w:r>
          </w:p>
          <w:p w:rsidR="00C96539" w:rsidRDefault="004F0B19" w:rsidP="0086443F">
            <w:pPr>
              <w:spacing w:after="0" w:line="259" w:lineRule="auto"/>
              <w:ind w:left="0" w:firstLine="0"/>
            </w:pPr>
            <w:r>
              <w:rPr>
                <w:b/>
                <w:color w:val="00003A"/>
              </w:rPr>
              <w:t>INICIATIVA</w:t>
            </w:r>
            <w:r w:rsidR="0086443F">
              <w:rPr>
                <w:b/>
                <w:color w:val="00003A"/>
              </w:rPr>
              <w:t>.</w:t>
            </w:r>
          </w:p>
        </w:tc>
        <w:tc>
          <w:tcPr>
            <w:tcW w:w="5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539" w:rsidRPr="00AB7B14" w:rsidRDefault="00971A9F" w:rsidP="004473E4">
            <w:pPr>
              <w:spacing w:afterLines="80" w:after="192"/>
              <w:ind w:left="0"/>
              <w:rPr>
                <w:rFonts w:asciiTheme="minorHAnsi" w:hAnsiTheme="minorHAnsi" w:cstheme="minorHAnsi"/>
                <w:szCs w:val="24"/>
              </w:rPr>
            </w:pPr>
            <w:r w:rsidRPr="00AB7B14">
              <w:rPr>
                <w:rFonts w:asciiTheme="minorHAnsi" w:hAnsiTheme="minorHAnsi" w:cstheme="minorHAnsi"/>
                <w:szCs w:val="24"/>
              </w:rPr>
              <w:t xml:space="preserve">Se pretende 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 xml:space="preserve">adaptar la normativa </w:t>
            </w:r>
            <w:r w:rsidR="004473E4">
              <w:rPr>
                <w:rFonts w:asciiTheme="minorHAnsi" w:hAnsiTheme="minorHAnsi" w:cstheme="minorHAnsi"/>
                <w:szCs w:val="24"/>
              </w:rPr>
              <w:t xml:space="preserve">de la Comunidad Autónoma de Euskadi 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>en materia de protección de datos</w:t>
            </w:r>
            <w:r w:rsidR="000A6F7C">
              <w:rPr>
                <w:rFonts w:asciiTheme="minorHAnsi" w:hAnsiTheme="minorHAnsi" w:cstheme="minorHAnsi"/>
                <w:szCs w:val="24"/>
              </w:rPr>
              <w:t xml:space="preserve">, contenida en la 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>Ley 2/2004, de 25 de febrero, de Ficheros de Datos de Carácter Personal de Titularidad Pública y de Creación de la Agencia Vasca</w:t>
            </w:r>
            <w:r w:rsidR="000A6F7C">
              <w:rPr>
                <w:rFonts w:asciiTheme="minorHAnsi" w:hAnsiTheme="minorHAnsi" w:cstheme="minorHAnsi"/>
                <w:szCs w:val="24"/>
              </w:rPr>
              <w:t xml:space="preserve"> de Protección de Datos y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 xml:space="preserve"> sus disposiciones de desarrollo</w:t>
            </w:r>
            <w:r w:rsidR="000A6F7C">
              <w:rPr>
                <w:rFonts w:asciiTheme="minorHAnsi" w:hAnsiTheme="minorHAnsi" w:cstheme="minorHAnsi"/>
                <w:szCs w:val="24"/>
              </w:rPr>
              <w:t>,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 xml:space="preserve"> al  Reglamento (UE) 2016/679 del Parlamento Europeo y el Consejo, de 27 de abril de 2016, relativo a la protección de las personas físicas en lo que respecta al tratamiento de sus datos personales y a la libre circulación de estos datos</w:t>
            </w:r>
            <w:r w:rsidR="003D044E">
              <w:rPr>
                <w:rFonts w:asciiTheme="minorHAnsi" w:hAnsiTheme="minorHAnsi" w:cstheme="minorHAnsi"/>
                <w:szCs w:val="24"/>
              </w:rPr>
              <w:t xml:space="preserve"> (en adelante, RGPD)</w:t>
            </w:r>
            <w:r w:rsidR="004473E4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>y a la Ley Orgánica 3/2018, de 5 de diciembre, de Protección de Datos Personales y garantía de los derechos digitales</w:t>
            </w:r>
            <w:r w:rsidR="003D044E">
              <w:rPr>
                <w:rFonts w:asciiTheme="minorHAnsi" w:hAnsiTheme="minorHAnsi" w:cstheme="minorHAnsi"/>
                <w:szCs w:val="24"/>
              </w:rPr>
              <w:t xml:space="preserve"> (en adelante, LOPDGDD)</w:t>
            </w:r>
            <w:r w:rsidR="004473E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A6F7C" w:rsidRPr="000A6F7C">
              <w:rPr>
                <w:rFonts w:asciiTheme="minorHAnsi" w:hAnsiTheme="minorHAnsi" w:cstheme="minorHAnsi"/>
                <w:szCs w:val="24"/>
              </w:rPr>
              <w:t>y completar sus disposiciones, así como regular el régimen jurídico de la Autoridad Vasca de Protección de Datos.</w:t>
            </w:r>
          </w:p>
        </w:tc>
      </w:tr>
      <w:tr w:rsidR="00C96539" w:rsidTr="00AB7B14">
        <w:trPr>
          <w:trHeight w:val="2217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 xml:space="preserve">NECESIDAD Y </w:t>
            </w:r>
          </w:p>
          <w:p w:rsidR="00C96539" w:rsidRDefault="004F0B19">
            <w:pPr>
              <w:spacing w:after="0" w:line="259" w:lineRule="auto"/>
              <w:ind w:left="0" w:firstLine="0"/>
            </w:pPr>
            <w:r>
              <w:rPr>
                <w:b/>
                <w:color w:val="00003A"/>
              </w:rPr>
              <w:t xml:space="preserve">OPORTUNIDAD DE SU </w:t>
            </w: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>APROBACIÓN</w:t>
            </w:r>
          </w:p>
        </w:tc>
        <w:tc>
          <w:tcPr>
            <w:tcW w:w="5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539" w:rsidRPr="00AB7B14" w:rsidRDefault="003D044E" w:rsidP="00287120">
            <w:pPr>
              <w:spacing w:after="0" w:line="259" w:lineRule="auto"/>
              <w:ind w:left="0" w:right="61" w:firstLine="0"/>
              <w:rPr>
                <w:rFonts w:asciiTheme="minorHAnsi" w:hAnsiTheme="minorHAnsi" w:cstheme="minorHAnsi"/>
              </w:rPr>
            </w:pPr>
            <w:r w:rsidRPr="003D044E">
              <w:rPr>
                <w:rFonts w:asciiTheme="minorHAnsi" w:hAnsiTheme="minorHAnsi" w:cstheme="minorHAnsi"/>
                <w:iCs/>
              </w:rPr>
              <w:t>La necesidad de adoptar una nueva Ley de Protección de Datos en el ámbito de la Comunidad Autónoma de Euskadi trae su causa de la necesidad de adaptar el marco institucional y procedimental</w:t>
            </w:r>
            <w:r w:rsidR="004473E4">
              <w:rPr>
                <w:rFonts w:asciiTheme="minorHAnsi" w:hAnsiTheme="minorHAnsi" w:cstheme="minorHAnsi"/>
                <w:iCs/>
              </w:rPr>
              <w:t>,</w:t>
            </w:r>
            <w:r w:rsidRPr="003D044E">
              <w:rPr>
                <w:rFonts w:asciiTheme="minorHAnsi" w:hAnsiTheme="minorHAnsi" w:cstheme="minorHAnsi"/>
                <w:iCs/>
              </w:rPr>
              <w:t xml:space="preserve"> actualmente vigente</w:t>
            </w:r>
            <w:r w:rsidR="004473E4">
              <w:rPr>
                <w:rFonts w:asciiTheme="minorHAnsi" w:hAnsiTheme="minorHAnsi" w:cstheme="minorHAnsi"/>
                <w:iCs/>
              </w:rPr>
              <w:t>,</w:t>
            </w:r>
            <w:r w:rsidRPr="003D044E">
              <w:rPr>
                <w:rFonts w:asciiTheme="minorHAnsi" w:hAnsiTheme="minorHAnsi" w:cstheme="minorHAnsi"/>
                <w:iCs/>
              </w:rPr>
              <w:t xml:space="preserve"> a las necesidades derivadas de la aprobación y plena aplicación del RGPD, que</w:t>
            </w:r>
            <w:r w:rsidR="004473E4">
              <w:rPr>
                <w:rFonts w:asciiTheme="minorHAnsi" w:hAnsiTheme="minorHAnsi" w:cstheme="minorHAnsi"/>
                <w:iCs/>
              </w:rPr>
              <w:t>,</w:t>
            </w:r>
            <w:r w:rsidRPr="003D044E">
              <w:rPr>
                <w:rFonts w:asciiTheme="minorHAnsi" w:hAnsiTheme="minorHAnsi" w:cstheme="minorHAnsi"/>
                <w:iCs/>
              </w:rPr>
              <w:t xml:space="preserve"> a su vez</w:t>
            </w:r>
            <w:r w:rsidR="004473E4">
              <w:rPr>
                <w:rFonts w:asciiTheme="minorHAnsi" w:hAnsiTheme="minorHAnsi" w:cstheme="minorHAnsi"/>
                <w:iCs/>
              </w:rPr>
              <w:t>,</w:t>
            </w:r>
            <w:r w:rsidRPr="003D044E">
              <w:rPr>
                <w:rFonts w:asciiTheme="minorHAnsi" w:hAnsiTheme="minorHAnsi" w:cstheme="minorHAnsi"/>
                <w:iCs/>
              </w:rPr>
              <w:t xml:space="preserve"> se ha complementado, en el ámbito del Estado, </w:t>
            </w:r>
            <w:r>
              <w:rPr>
                <w:rFonts w:asciiTheme="minorHAnsi" w:hAnsiTheme="minorHAnsi" w:cstheme="minorHAnsi"/>
                <w:iCs/>
              </w:rPr>
              <w:t>con la aprobación de la LOPDGDD</w:t>
            </w:r>
            <w:r w:rsidR="00C11158" w:rsidRPr="00AB7B14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96539" w:rsidTr="00BE36E4">
        <w:trPr>
          <w:trHeight w:val="4434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4473E4" w:rsidRDefault="004473E4">
            <w:pPr>
              <w:spacing w:after="0" w:line="259" w:lineRule="auto"/>
              <w:ind w:left="0" w:firstLine="0"/>
              <w:jc w:val="left"/>
              <w:rPr>
                <w:b/>
                <w:color w:val="00003A"/>
              </w:rPr>
            </w:pP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>OBJETIVOS DE LA NORMA</w:t>
            </w:r>
          </w:p>
        </w:tc>
        <w:tc>
          <w:tcPr>
            <w:tcW w:w="5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277" w:rsidRDefault="003C3277" w:rsidP="003C3277">
            <w:pPr>
              <w:pStyle w:val="Zerrenda-paragrafoa"/>
              <w:numPr>
                <w:ilvl w:val="0"/>
                <w:numId w:val="4"/>
              </w:numPr>
              <w:spacing w:after="64" w:line="240" w:lineRule="auto"/>
              <w:ind w:right="6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</w:t>
            </w:r>
            <w:r w:rsidRPr="000A6F7C">
              <w:rPr>
                <w:rFonts w:asciiTheme="minorHAnsi" w:hAnsiTheme="minorHAnsi" w:cstheme="minorHAnsi"/>
                <w:szCs w:val="24"/>
              </w:rPr>
              <w:t xml:space="preserve">ptar la normativa </w:t>
            </w:r>
            <w:r w:rsidR="004473E4">
              <w:rPr>
                <w:rFonts w:asciiTheme="minorHAnsi" w:hAnsiTheme="minorHAnsi" w:cstheme="minorHAnsi"/>
                <w:szCs w:val="24"/>
              </w:rPr>
              <w:t xml:space="preserve">de la Comunidad Autónoma de Euskadi </w:t>
            </w:r>
            <w:r w:rsidRPr="000A6F7C">
              <w:rPr>
                <w:rFonts w:asciiTheme="minorHAnsi" w:hAnsiTheme="minorHAnsi" w:cstheme="minorHAnsi"/>
                <w:szCs w:val="24"/>
              </w:rPr>
              <w:t>en materia de protección de datos</w:t>
            </w:r>
            <w:r>
              <w:rPr>
                <w:rFonts w:asciiTheme="minorHAnsi" w:hAnsiTheme="minorHAnsi" w:cstheme="minorHAnsi"/>
                <w:szCs w:val="24"/>
              </w:rPr>
              <w:t xml:space="preserve"> al</w:t>
            </w:r>
            <w:r w:rsidRPr="000A6F7C">
              <w:rPr>
                <w:rFonts w:asciiTheme="minorHAnsi" w:hAnsiTheme="minorHAnsi" w:cstheme="minorHAnsi"/>
                <w:szCs w:val="24"/>
              </w:rPr>
              <w:t xml:space="preserve"> Reglamento (UE) 2016/679 del Parlamento Europeo y el Consejo, de 27 de abril de 2016, relativo a la protección de las personas físicas en lo que respecta al tratamiento de sus datos personales y a la libre circulación de estos datos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3C3277" w:rsidRDefault="003C3277" w:rsidP="003C3277">
            <w:pPr>
              <w:pStyle w:val="Zerrenda-paragrafoa"/>
              <w:numPr>
                <w:ilvl w:val="0"/>
                <w:numId w:val="4"/>
              </w:numPr>
              <w:spacing w:after="64" w:line="240" w:lineRule="auto"/>
              <w:ind w:right="6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</w:t>
            </w:r>
            <w:r w:rsidRPr="000A6F7C">
              <w:rPr>
                <w:rFonts w:asciiTheme="minorHAnsi" w:hAnsiTheme="minorHAnsi" w:cstheme="minorHAnsi"/>
                <w:szCs w:val="24"/>
              </w:rPr>
              <w:t xml:space="preserve">ptar la normativa </w:t>
            </w:r>
            <w:r w:rsidR="004473E4">
              <w:rPr>
                <w:rFonts w:asciiTheme="minorHAnsi" w:hAnsiTheme="minorHAnsi" w:cstheme="minorHAnsi"/>
                <w:szCs w:val="24"/>
              </w:rPr>
              <w:t xml:space="preserve">de la Comunidad Autónoma de Euskadi </w:t>
            </w:r>
            <w:r w:rsidRPr="000A6F7C">
              <w:rPr>
                <w:rFonts w:asciiTheme="minorHAnsi" w:hAnsiTheme="minorHAnsi" w:cstheme="minorHAnsi"/>
                <w:szCs w:val="24"/>
              </w:rPr>
              <w:t>en materia de protección de datos a la Ley Orgánica 3/2018, de 5 de diciembre, de Protección de Datos Personales y garantía de los derechos digitales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C96539" w:rsidRPr="00AB7B14" w:rsidRDefault="003C3277" w:rsidP="003C3277">
            <w:pPr>
              <w:pStyle w:val="Zerrenda-paragrafoa"/>
              <w:numPr>
                <w:ilvl w:val="0"/>
                <w:numId w:val="4"/>
              </w:numPr>
              <w:spacing w:after="64" w:line="240" w:lineRule="auto"/>
              <w:ind w:righ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0A6F7C">
              <w:rPr>
                <w:rFonts w:asciiTheme="minorHAnsi" w:hAnsiTheme="minorHAnsi" w:cstheme="minorHAnsi"/>
                <w:szCs w:val="24"/>
              </w:rPr>
              <w:t>egular el régimen jurídico de la Autoridad Vasca de Protección de Datos.</w:t>
            </w:r>
          </w:p>
        </w:tc>
      </w:tr>
      <w:tr w:rsidR="00C96539" w:rsidTr="00030140">
        <w:trPr>
          <w:trHeight w:val="144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 xml:space="preserve">POSIBLES </w:t>
            </w: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 xml:space="preserve">SOLUCIONES </w:t>
            </w: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 xml:space="preserve">ALTERNATIVAS </w:t>
            </w:r>
          </w:p>
          <w:p w:rsidR="00C96539" w:rsidRDefault="004F0B19">
            <w:pPr>
              <w:spacing w:after="0" w:line="259" w:lineRule="auto"/>
              <w:ind w:left="0" w:firstLine="0"/>
            </w:pPr>
            <w:r>
              <w:rPr>
                <w:b/>
                <w:color w:val="00003A"/>
              </w:rPr>
              <w:t xml:space="preserve">REGULATORIAS Y NO </w:t>
            </w:r>
          </w:p>
          <w:p w:rsidR="00C96539" w:rsidRDefault="004F0B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3A"/>
              </w:rPr>
              <w:t>REGULATORIAS</w:t>
            </w:r>
          </w:p>
        </w:tc>
        <w:tc>
          <w:tcPr>
            <w:tcW w:w="5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539" w:rsidRPr="00030140" w:rsidRDefault="001604FA">
            <w:pPr>
              <w:spacing w:after="0" w:line="259" w:lineRule="auto"/>
              <w:ind w:left="0" w:right="6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  <w:r w:rsidR="004F0B19" w:rsidRPr="00030140">
              <w:rPr>
                <w:rFonts w:asciiTheme="minorHAnsi" w:hAnsiTheme="minorHAnsi" w:cstheme="minorHAnsi"/>
              </w:rPr>
              <w:t xml:space="preserve"> elaboración de una medida específica de carácter normativo se presenta como inexcusable, sin que puedan contemplarse otras soluciones alternat</w:t>
            </w:r>
            <w:r>
              <w:rPr>
                <w:rFonts w:asciiTheme="minorHAnsi" w:hAnsiTheme="minorHAnsi" w:cstheme="minorHAnsi"/>
              </w:rPr>
              <w:t>ivas</w:t>
            </w:r>
            <w:r w:rsidR="004473E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dada la exigencia de adaptación a la normativa europea y estatal</w:t>
            </w:r>
            <w:r w:rsidR="004F0B19" w:rsidRPr="00030140">
              <w:rPr>
                <w:rFonts w:asciiTheme="minorHAnsi" w:hAnsiTheme="minorHAnsi" w:cstheme="minorHAnsi"/>
              </w:rPr>
              <w:t xml:space="preserve"> existente.</w:t>
            </w:r>
          </w:p>
        </w:tc>
      </w:tr>
    </w:tbl>
    <w:p w:rsidR="00C96539" w:rsidRDefault="00C96539" w:rsidP="00D01A16">
      <w:pPr>
        <w:spacing w:after="0" w:line="259" w:lineRule="auto"/>
        <w:ind w:left="231" w:firstLine="0"/>
        <w:jc w:val="center"/>
      </w:pPr>
    </w:p>
    <w:sectPr w:rsidR="00C96539" w:rsidSect="00DD7636">
      <w:pgSz w:w="11907" w:h="16840"/>
      <w:pgMar w:top="1487" w:right="1701" w:bottom="575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898"/>
    <w:multiLevelType w:val="hybridMultilevel"/>
    <w:tmpl w:val="569045DA"/>
    <w:lvl w:ilvl="0" w:tplc="38B4D82E">
      <w:start w:val="1"/>
      <w:numFmt w:val="lowerLetter"/>
      <w:lvlText w:val="%1)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E3C6A">
      <w:start w:val="1"/>
      <w:numFmt w:val="lowerLetter"/>
      <w:lvlText w:val="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4238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7452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CE93A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C3B3C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08E1A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C155C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A7C4C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B28D0"/>
    <w:multiLevelType w:val="hybridMultilevel"/>
    <w:tmpl w:val="CA8AC22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A4F98"/>
    <w:multiLevelType w:val="hybridMultilevel"/>
    <w:tmpl w:val="674C31B4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77345CBF"/>
    <w:multiLevelType w:val="hybridMultilevel"/>
    <w:tmpl w:val="892604A4"/>
    <w:lvl w:ilvl="0" w:tplc="6A9449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8DC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9D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C0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2D7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E6E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29E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CA0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EC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9"/>
    <w:rsid w:val="00030140"/>
    <w:rsid w:val="000A6F7C"/>
    <w:rsid w:val="001604FA"/>
    <w:rsid w:val="001A00C3"/>
    <w:rsid w:val="00287120"/>
    <w:rsid w:val="003C3277"/>
    <w:rsid w:val="003D044E"/>
    <w:rsid w:val="004473E4"/>
    <w:rsid w:val="004F0B19"/>
    <w:rsid w:val="00546E36"/>
    <w:rsid w:val="0086443F"/>
    <w:rsid w:val="00971A9F"/>
    <w:rsid w:val="009B50EC"/>
    <w:rsid w:val="00A41D02"/>
    <w:rsid w:val="00AB7B14"/>
    <w:rsid w:val="00BB442A"/>
    <w:rsid w:val="00BE36E4"/>
    <w:rsid w:val="00C11158"/>
    <w:rsid w:val="00C96539"/>
    <w:rsid w:val="00CA560D"/>
    <w:rsid w:val="00D01A16"/>
    <w:rsid w:val="00D65FBA"/>
    <w:rsid w:val="00DA3864"/>
    <w:rsid w:val="00DD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53E6"/>
  <w15:docId w15:val="{12AE1532-248D-4E31-980A-8E61278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D7636"/>
    <w:pPr>
      <w:spacing w:after="327" w:line="268" w:lineRule="auto"/>
      <w:ind w:left="24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Grid">
    <w:name w:val="TableGrid"/>
    <w:rsid w:val="00DD76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a">
    <w:name w:val="Emphasis"/>
    <w:uiPriority w:val="99"/>
    <w:qFormat/>
    <w:rsid w:val="00C11158"/>
    <w:rPr>
      <w:i/>
      <w:iCs/>
    </w:rPr>
  </w:style>
  <w:style w:type="paragraph" w:styleId="Zerrenda-paragrafoa">
    <w:name w:val="List Paragraph"/>
    <w:basedOn w:val="Normala"/>
    <w:uiPriority w:val="34"/>
    <w:qFormat/>
    <w:rsid w:val="00C11158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A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A56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5E21F9C836A47956C95BAC3C03181" ma:contentTypeVersion="13" ma:contentTypeDescription="Create a new document." ma:contentTypeScope="" ma:versionID="72263ece7efb1998f38a97e803d87af0">
  <xsd:schema xmlns:xsd="http://www.w3.org/2001/XMLSchema" xmlns:xs="http://www.w3.org/2001/XMLSchema" xmlns:p="http://schemas.microsoft.com/office/2006/metadata/properties" xmlns:ns3="6774d194-7cbc-4435-89f4-d5477eec72ab" xmlns:ns4="3e0ccec9-0ebb-4958-af4e-6f06ef2b1e74" targetNamespace="http://schemas.microsoft.com/office/2006/metadata/properties" ma:root="true" ma:fieldsID="fa24b889356d20495a4a267edeed25a1" ns3:_="" ns4:_="">
    <xsd:import namespace="6774d194-7cbc-4435-89f4-d5477eec72ab"/>
    <xsd:import namespace="3e0ccec9-0ebb-4958-af4e-6f06ef2b1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4d194-7cbc-4435-89f4-d5477eec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cec9-0ebb-4958-af4e-6f06ef2b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FBECE-DF8A-4B33-9FE9-2C57D3804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A9C4B-64CC-444E-BD26-BBD767875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4BD13-5323-4906-9BB3-688E0B1B8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4d194-7cbc-4435-89f4-d5477eec72ab"/>
    <ds:schemaRef ds:uri="3e0ccec9-0ebb-4958-af4e-6f06ef2b1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 Pinedo, Txomin</dc:creator>
  <cp:lastModifiedBy>Aramendia Cordón, José Luis</cp:lastModifiedBy>
  <cp:revision>9</cp:revision>
  <cp:lastPrinted>2021-05-20T15:52:00Z</cp:lastPrinted>
  <dcterms:created xsi:type="dcterms:W3CDTF">2021-05-20T11:19:00Z</dcterms:created>
  <dcterms:modified xsi:type="dcterms:W3CDTF">2021-05-20T15:56:00Z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0x0101008605E21F9C836A47956C95BAC3C03181</vt:lpwstr>
  </property>
</Properties>
</file>